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color w:val="auto"/>
          <w:spacing w:val="0"/>
          <w:position w:val="0"/>
          <w:sz w:val="28"/>
          <w:shd w:fill="auto" w:val="clear"/>
        </w:rPr>
      </w:pPr>
      <w:r>
        <w:object w:dxaOrig="1713" w:dyaOrig="1828">
          <v:rect xmlns:o="urn:schemas-microsoft-com:office:office" xmlns:v="urn:schemas-microsoft-com:vml" id="rectole0000000000" style="width:85.650000pt;height:91.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color w:val="auto"/>
          <w:spacing w:val="0"/>
          <w:position w:val="0"/>
          <w:sz w:val="28"/>
          <w:shd w:fill="auto" w:val="clear"/>
        </w:rPr>
        <w:t xml:space="preserve">Portreath Pre-School      </w:t>
      </w:r>
    </w:p>
    <w:p>
      <w:pPr>
        <w:spacing w:before="0" w:after="0" w:line="360"/>
        <w:ind w:right="0" w:left="0" w:firstLine="0"/>
        <w:jc w:val="left"/>
        <w:rPr>
          <w:rFonts w:ascii="Arial" w:hAnsi="Arial" w:cs="Arial" w:eastAsia="Arial"/>
          <w:color w:val="auto"/>
          <w:spacing w:val="0"/>
          <w:position w:val="0"/>
          <w:sz w:val="28"/>
          <w:shd w:fill="auto" w:val="clear"/>
        </w:rPr>
      </w:pPr>
      <w:r>
        <w:rPr>
          <w:rFonts w:ascii="Arial" w:hAnsi="Arial" w:cs="Arial" w:eastAsia="Arial"/>
          <w:b/>
          <w:color w:val="auto"/>
          <w:spacing w:val="0"/>
          <w:position w:val="0"/>
          <w:sz w:val="28"/>
          <w:shd w:fill="auto" w:val="clear"/>
        </w:rPr>
        <w:t xml:space="preserve">Safeguarding children</w:t>
      </w: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 Missing child</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Children’s safety is maintained as the highest priority at all times both on and off premises. Every attempt is made through carrying out the outings procedure and the exit/entrance procedure to ensure the security of children is maintained at all times.  In the unlikely event of a child going missing, our missing child procedure is followed.</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b/>
          <w:color w:val="auto"/>
          <w:spacing w:val="0"/>
          <w:position w:val="0"/>
          <w:sz w:val="22"/>
          <w:shd w:fill="auto" w:val="clear"/>
        </w:rPr>
      </w:pPr>
    </w:p>
    <w:p>
      <w:pPr>
        <w:keepNext w:val="true"/>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Child going missing on the premises</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soon as it is noticed that a child is missing the key person/staff alerts the setting leader or in their place the deputy.</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leader/deputy will carry out a thorough search of the building and garden.</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register is checked and a head count is done to make sure no other child has also gone astray.</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Doors and gates are checked to see if there has been a breach of security whereby a child could wander out.</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child is not found the missing child is reported to the police and the parent will be contacted immediately afterwards, if the setting leader is not on the premises they will also be contacted.</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leader talks to the staff to find out when and where the child was last seen and records this.</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The setting leader contacts the chairperson and reports the incident. The chairperson, with the management committee, carries out an investigation and may come to the setting immediately.</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Staff can refer to the ‘Missing Child Procedure Card’ which can be found on the desk noticeboard. </w:t>
      </w:r>
    </w:p>
    <w:p>
      <w:pPr>
        <w:spacing w:before="0" w:after="0" w:line="360"/>
        <w:ind w:right="0" w:left="0" w:firstLine="0"/>
        <w:jc w:val="left"/>
        <w:rPr>
          <w:rFonts w:ascii="Arial" w:hAnsi="Arial" w:cs="Arial" w:eastAsia="Arial"/>
          <w:color w:val="auto"/>
          <w:spacing w:val="0"/>
          <w:position w:val="0"/>
          <w:sz w:val="22"/>
          <w:u w:val="single"/>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Child going missing on an outing</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describes what to do when staff have taken a small group on an outing, leaving the setting leader and/or other staff back in the setting.  If the setting Leader has accompanied children on the outing, the procedures are adjusted accordingly. </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soon as it is noticed that a child is missing, staff on the outing ask children to stand with their designated person and carry out a headcount to ensure that no other child has gone astray.  One staff member searches the immediate vicinity but does not search beyond that. Staff can refer to the ‘Missing child on an outing procedure card’ which can be found in the front of the rucksack that staff take with them on outings. </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leader is contacted immediately and the incident is reported.</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leader contacts the police and reports the child as missing.</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leader contacts the parent, who makes their way to the setting or outing venue as agreed with the setting leader.  The setting is advised as the best place, as by the time the parent arrives, the child may have been returned to the setting.</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take the remaining children back to the setting.</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an indoor venue, the staff contact the venue’s security who will handle the search and contact the police if the child is not found.</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leader contacts the chairperson and reports the incident. The chairperson, with the management committee, carries out an investigation and may come to the setting immediately.</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leader, or designated staff member may be advised by the police to stay at the venue until they arrive.</w:t>
      </w:r>
    </w:p>
    <w:p>
      <w:pPr>
        <w:numPr>
          <w:ilvl w:val="0"/>
          <w:numId w:val="5"/>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keep calm and do not let the other children become anxious or worried</w:t>
      </w:r>
    </w:p>
    <w:p>
      <w:pPr>
        <w:spacing w:before="0" w:after="0" w:line="360"/>
        <w:ind w:right="0" w:left="36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The investigation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leader together with the chairperson or representative from the management committee or owner, speaks with the parent(s).</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chairperson and management committee or owner, carry out a full investigation taking written statements from all the staff in the room or who were on the outing.</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key person/staff member writes an incident report detailing:</w:t>
      </w:r>
    </w:p>
    <w:p>
      <w:pPr>
        <w:numPr>
          <w:ilvl w:val="0"/>
          <w:numId w:val="9"/>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date and time of the report.</w:t>
      </w:r>
    </w:p>
    <w:p>
      <w:pPr>
        <w:numPr>
          <w:ilvl w:val="0"/>
          <w:numId w:val="9"/>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What staff/children were in the group/outing and the name of the staff designated responsible for the missing child.</w:t>
      </w:r>
    </w:p>
    <w:p>
      <w:pPr>
        <w:numPr>
          <w:ilvl w:val="0"/>
          <w:numId w:val="9"/>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the child was last seen in the group/outing.</w:t>
      </w:r>
    </w:p>
    <w:p>
      <w:pPr>
        <w:numPr>
          <w:ilvl w:val="0"/>
          <w:numId w:val="9"/>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What has taken place in the group or outing since the child went missing.</w:t>
      </w:r>
    </w:p>
    <w:p>
      <w:pPr>
        <w:numPr>
          <w:ilvl w:val="0"/>
          <w:numId w:val="9"/>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time it is estimated that the child went missing.</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conclusion is drawn as to how the breach of security happened.</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incident warrants a police investigation, all staff co-operate fully.  In this case, the police will handle all aspects of the investigation, including interviewing staff.  Children’s Social Care may be involved if it seems likely that there is a child protection issue to address.</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incident is reported under RIDDOR arrangements (see the Reporting of Accidents and Incidents policy); the local authority Health and Safety Officer may want to investigate and will decide if there is a case for prosecution. Ofsted is reported about the missing child within 14 days (0300 1231231)</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event of disciplinary action needing to be taken, Ofsted is informed.</w:t>
      </w:r>
    </w:p>
    <w:p>
      <w:pPr>
        <w:numPr>
          <w:ilvl w:val="0"/>
          <w:numId w:val="9"/>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insurance provider is informed.</w:t>
      </w:r>
    </w:p>
    <w:p>
      <w:pPr>
        <w:keepNext w:val="true"/>
        <w:spacing w:before="0" w:after="0" w:line="360"/>
        <w:ind w:right="0" w:left="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Managing people</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Missing child incidents are very worrying for all concerned.  Part of managing the incident is to try to keep everyone as calm as possible.</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staff will feel worried about the child, especially the key person or the designated carer responsible for the safety of that child for the outing.  They may blame themselves and their feelings of anxiety and distress will rise as the length of time the child is missing increases.</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may be the understandable target of parental anger and they may be afraid.  Setting leaders need to ensure that staff under investigation are not only fairly treated but receive support while feeling vulnerable.</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parents will feel angry, and fraught.  They may want to blame staff and may single out one staff member over others; they may direct their anger at the setting leader.  When dealing with a distraught and angry parent, there should always be two members of staff, one of whom is the setting leader and the other should be the chairperson of the management committee or representative. No matter how understandable the parent’s anger may be, aggression or threats against staff are not tolerated, and the police should be called.</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other children are also sensitive to what is going on around them.  They too may be worried.  The remaining staff caring for them need to be focused on their needs and must not discuss the incident in front of them.  They should answer children’s questions honestly but also reassure them.</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accordance with the severity of the final outcome, staff may need counselling and support. If a child is not found, or is injured, or worse, this will be a very difficult time. The chairperson will use their discretion to decide what action to take.</w:t>
      </w:r>
    </w:p>
    <w:p>
      <w:pPr>
        <w:numPr>
          <w:ilvl w:val="0"/>
          <w:numId w:val="1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must not discuss any missing child incident with the press without taking advice.</w:t>
      </w:r>
    </w:p>
    <w:p>
      <w:pPr>
        <w:spacing w:before="0" w:after="0" w:line="360"/>
        <w:ind w:right="0" w:left="360" w:firstLine="0"/>
        <w:jc w:val="left"/>
        <w:rPr>
          <w:rFonts w:ascii="Arial" w:hAnsi="Arial" w:cs="Arial" w:eastAsia="Arial"/>
          <w:b/>
          <w:color w:val="auto"/>
          <w:spacing w:val="0"/>
          <w:position w:val="0"/>
          <w:sz w:val="22"/>
          <w:shd w:fill="auto" w:val="clear"/>
        </w:rPr>
      </w:pP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6"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 Jan 2017</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855" w:hRule="auto"/>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Last reviewed and amended: </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02.03.2026</w:t>
            </w:r>
          </w:p>
          <w:p>
            <w:pPr>
              <w:spacing w:before="0" w:after="0" w:line="360"/>
              <w:ind w:right="0" w:left="0" w:firstLine="0"/>
              <w:jc w:val="left"/>
              <w:rPr>
                <w:color w:val="auto"/>
                <w:spacing w:val="0"/>
                <w:position w:val="0"/>
                <w:shd w:fill="auto" w:val="clear"/>
              </w:rPr>
            </w:pP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color w:val="auto"/>
                <w:spacing w:val="0"/>
                <w:position w:val="0"/>
                <w:shd w:fill="auto" w:val="clear"/>
              </w:rPr>
            </w:pPr>
          </w:p>
        </w:tc>
      </w:tr>
    </w:tbl>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p>
    <w:p>
      <w:pPr>
        <w:tabs>
          <w:tab w:val="left" w:pos="1590" w:leader="none"/>
        </w:tabs>
        <w:spacing w:before="0" w:after="0" w:line="240"/>
        <w:ind w:right="0" w:left="0" w:firstLine="0"/>
        <w:jc w:val="left"/>
        <w:rPr>
          <w:rFonts w:ascii="Comic Sans MS" w:hAnsi="Comic Sans MS" w:cs="Comic Sans MS" w:eastAsia="Comic Sans MS"/>
          <w:color w:val="auto"/>
          <w:spacing w:val="0"/>
          <w:position w:val="0"/>
          <w:sz w:val="28"/>
          <w:shd w:fill="auto" w:val="clear"/>
        </w:rPr>
      </w:pPr>
    </w:p>
    <w:p>
      <w:pPr>
        <w:tabs>
          <w:tab w:val="left" w:pos="1590" w:leader="none"/>
        </w:tabs>
        <w:spacing w:before="0" w:after="0" w:line="240"/>
        <w:ind w:right="0" w:left="0" w:firstLine="0"/>
        <w:jc w:val="left"/>
        <w:rPr>
          <w:rFonts w:ascii="Comic Sans MS" w:hAnsi="Comic Sans MS" w:cs="Comic Sans MS" w:eastAsia="Comic Sans MS"/>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5">
    <w:abstractNumId w:val="12"/>
  </w:num>
  <w:num w:numId="9">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