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Our policy reflects the requirements of the EYFS 2025</w:t>
      </w:r>
      <w:r>
        <w:rPr>
          <w:rFonts w:ascii="Arial" w:hAnsi="Arial" w:cs="Arial" w:eastAsia="Arial"/>
          <w:color w:val="auto"/>
          <w:spacing w:val="0"/>
          <w:position w:val="0"/>
          <w:sz w:val="22"/>
          <w:shd w:fill="auto" w:val="clear"/>
        </w:rPr>
        <w:t xml:space="preserve"> and understands the requirements of </w:t>
      </w:r>
      <w:r>
        <w:rPr>
          <w:rFonts w:ascii="Arial" w:hAnsi="Arial" w:cs="Arial" w:eastAsia="Arial"/>
          <w:b/>
          <w:color w:val="auto"/>
          <w:spacing w:val="0"/>
          <w:position w:val="0"/>
          <w:sz w:val="22"/>
          <w:shd w:fill="auto" w:val="clear"/>
        </w:rPr>
        <w:t xml:space="preserve">Managing Behaviour 3.73 and 3.74</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works towards the achievement of the early learning goals at the end of the Foundation Stage as specified by 1.7.  We support the children in acquiring the skills and attitudes that will help them towards ultimately achieving these Early Learning Goals (by the end of their Reception year);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Self-regulation</w:t>
      </w:r>
      <w:r>
        <w:rPr>
          <w:rFonts w:ascii="Arial" w:hAnsi="Arial" w:cs="Arial" w:eastAsia="Arial"/>
          <w:color w:val="auto"/>
          <w:spacing w:val="0"/>
          <w:position w:val="0"/>
          <w:sz w:val="22"/>
          <w:shd w:fill="auto" w:val="clear"/>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adult says, responding appropriately even when engaged in activity, and show an ability to follow instructions involving several ideas or actions.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Managing Self: </w:t>
      </w:r>
      <w:r>
        <w:rPr>
          <w:rFonts w:ascii="Arial" w:hAnsi="Arial" w:cs="Arial" w:eastAsia="Arial"/>
          <w:color w:val="auto"/>
          <w:spacing w:val="0"/>
          <w:position w:val="0"/>
          <w:sz w:val="22"/>
          <w:shd w:fill="auto" w:val="clear"/>
        </w:rPr>
        <w:t xml:space="preserve">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 confident to try new activities and show independence, resilience and perseverance in the face of challenge; explain the reasons for rules, know right from wrong and try to behave accordingly; managing their own basic hygiene and personal needs, including dressing, going to the toilet and understanding the importance of healthy food choices.</w:t>
      </w:r>
    </w:p>
    <w:p>
      <w:pPr>
        <w:spacing w:before="0" w:after="0" w:line="36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Building Relationships: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 and play cooperatively and take turns with others; form positive attachments to adults and friendships with peers; show sensitivity to their own and to others’ needs.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setting believes that children flourish best when their personal, social and emotional needs are met and where there are clear and developmentally appropriate expectations for their behaviour.</w:t>
      </w:r>
    </w:p>
    <w:p>
      <w:pPr>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the programme for promoting personal, social and emotional development.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practitioners are responsible for supporting personal, social and emotional development, including issues concerning behaviour.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place a high priority upon training which includes keeping up to date in the legislation, research and thinking on promoting positive behaviour and on handling children's behaviour where it may require additional support.</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use emotion coaching when children are upset or their behaviour is becoming challenging. </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Access relevant sources of expertise on promoting positive behaviour within the programme for supporting personal, social and emotional development.</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codes for interacting with other people vary between cultures and require staff to be aware of - and respect - those used by members of the setting.</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require all staff, volunteers and students to provide a positive model of behaviour by treating children, parents and one another with friendliness, care and courtesy.</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familiarise new staff and volunteers with the setting's behaviour policy and its guidelines for behaviour.</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expect all members of our setting - children, parents, staff, volunteers and students - to keep to the guidelines, requiring these to be applied consistently.</w:t>
      </w:r>
    </w:p>
    <w:p>
      <w:pPr>
        <w:numPr>
          <w:ilvl w:val="0"/>
          <w:numId w:val="7"/>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pPr>
        <w:spacing w:before="0" w:after="0" w:line="360"/>
        <w:ind w:right="0" w:left="36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Strategies to support children who are engaged in inconsiderate behaviour  (3.73, 3.74 EYFS 2025)</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understand our responsibility for managing children’s behaviour in an appropriate way.  We would never give corporal punishment to a child, such as smacking or shaking. Children are never threatened with these. We take all reasonable steps to ensure that corporal punishment is not given by any person who cares for or is in regular contact with a child. If we fail to meet these requirements we will be committing an offence. </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use physical restraint, such as holding, only to prevent physical injury to children or adults and/or serious damage to property. Details of such an event (what happened, what action was taken and by whom, and the names of witnesses) are brought to the attention of our setting leader and are recorded in the Incident book.  The child’s parent is informed on the same day.</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require all staff, volunteers and students to use positive strategies for handling any inconsiderate behaviour, by helping children find solutions in ways which are appropriate for their stage of development. Such solutions might include, for example, acknowledgement of feelings, explanation as to what was not acceptable, this supports children to gain control of their feelings so that they can learn a more appropriate response.</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that there are enough popular toys and resources and sufficient activities available so that children are meaningfully occupied without the need for unnecessary conflict over sharing and waiting for turns.</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acknowledge considerate behaviour such as kindness and willingness to share.</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support each child in developing self-esteem, confidence and feelings of competence.</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support each child in developing a sense of belonging in our group, so that they feel valued and welcome.</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avoid creating situations in which children receive adult attention only in return for inconsiderate behaviour.</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children behave in inconsiderate ways, we help them to understand the outcomes of their action and support them in learning how to cope more appropriately.</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never send children out of the room by themselves, nor do we use a ‘naughty chair’ or a ‘time out’ strategy that excludes children from the group.</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do not use techniques intended to single out and humiliate individual children.</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cases of serious misbehaviour, such as racial or other abuse, we make clear immediately the unacceptability of the behaviour and attitudes, by means of explanations rather than personal blame.</w:t>
      </w:r>
    </w:p>
    <w:p>
      <w:pPr>
        <w:numPr>
          <w:ilvl w:val="0"/>
          <w:numId w:val="10"/>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do not shout or raise our voices in a threatening way to respond to children's inconsiderate behaviour.</w:t>
      </w:r>
    </w:p>
    <w:p>
      <w:pPr>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Understanding Young Children’s behaviour</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children behave in inconsiderate ways we recognise that strategies for supporting them will need to be developmentally appropriate.</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very young children are unable to regulate their own emotions, such as fear, anger or distress, and require sensitive adults to help them do this.</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Common inconsiderate or hurtful behaviours of young children include tantrums, biting or fighting. Staff remain calm and patient, offering comfort to intense emotions, helping children to manage their feelings and talk about them to help resolve issues and promote understanding.</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tantrums, biting or fighting are frequent, we try to find out the underlying cause - such as a change or upheaval at home, or frequent change of carers. Sometimes a child has not settled in well and the behaviour may be the result of ‘separation anxiety’.</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focus on ensuring a child’s attachment figure in the setting, their key person, is building a strong relationship to provide security to the child.</w:t>
      </w:r>
    </w:p>
    <w:p>
      <w:pPr>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Rough and tumble play, hurtful behaviour and bullying</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Our procedure has been updated to provide additional focus on these kinds of inconsiderate behaviours. </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Rough and tumble play and fantasy aggression</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Young children often engage in play that has aggressive themes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such as superhero and weapon play; some children appear pre-occupied with these themes, but their behaviour is not necessarily a precursor to hurtful behaviour or bullying, although it may be inconsiderate at times and may need addressing using strategies as above.</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teasing and rough and tumble play are normal for young children and acceptable within limits. We regard these kinds of play as pro-social and not as problematic or aggressive.</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develop strategies to contain play that are agreed with the children, and understood by them, with acceptable behavioural boundaries to ensure children are not hurt. </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fantasy play also contains many violently dramatic strategies, blowing up, shooting etc., and that themes often refer to ‘goodies and baddies’ and as such offer opportunities for us to explore concepts of right and wrong.</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able to tune in to the content of the play, perhaps to suggest alternative strategies for heroes and heroines, making the most of ‘teachable moments’ to encourage empathy and lateral thinking to explore alternative scenarios and strategies for conflict resolution.</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Hurtful behaviour</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take hurtful behaviour very seriously. Most young children will at some stage hurt or say something hurtful to another child, especially if their emotions are high at the time, but it is not helpful to label this behaviour as ‘bullying’. For young children hurtful behaviour is momentary, spontaneous and often without cognisance of the feelings of the person whom they have hurt. </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young children behave in hurtful ways towards others because they have not yet developed the means to manage intense feelings that sometimes overwhelm them.</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help them manage these feelings as they have neither the biological means nor the cognitive means to do this for themselves.</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understand that self-management of intense emotions, especially of anger, happens when the brain has developed neurological systems to manage the physiological processes that take place when triggers activate responses of anger or fear.</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Therefore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way of responding to children is to calm them down, and offering them an explanation and discuss the incident with them to their level of understanding.</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young children require help in understanding the range of feelings they experience. We help children recognise their feelings by naming them and helping children to express them, making a connection verbally between the event and the feeling. Older children will be able to verbalise their feelings better, talking through themselves the feelings that motivated the behaviour.</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help young children learn to empathise with others, understanding that they have feelings too and that their actions impact on others’ feelings. </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help young children develop pro-social behaviour, such as resolving conflict over who has the toy. </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support social skills through modelling behaviour, through activities, drama and stories. We build self-esteem and confidence in children, recognising their emotional needs through close and committed relationships with them.</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help a child to understand the effect that their hurtful behaviour has had on another child; we do not force children to say sorry, but encourage this where it is clear that they are genuinely sorry and wish to show this to the person they have hurt.</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hurtful behaviour becomes problematic, we work with parents to identify the cause and find a solution together. The main reasons for very young children to engage in excessive hurtful behaviour are that:</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they do not feel securely attached to someone who can interpret and meet their needs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this may be in the home and it may also be in the setting;</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their parent, or carer in the setting, does not have skills in responding appropriately, and consequently negative patterns are developing where hurtful behaviour is the only response the child has to express feelings of anger;</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child may have insufficient language, or mastery of English, to express him or herself and may feel frustrated;</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child is exposed to levels of aggressive behaviour at home and may be at risk emotionally, or may be experiencing child abuse;</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child has a developmental condition that affects how they behave.</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this does not work, we use the SEND Code of Practice to Early Years Inclusion Service where necessary.</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Bullying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child who is bullying has reached a stage of cognitive development where he or she is able to plan to carry out a premeditated intent to cause distress in another.</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bullies another child or children:</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show the children who have been bullied that we are able to listen to their concerns and act upon them;</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intervene to stop the child who is bullying from harming the other child or children; </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explain to the child doing the bullying why her/his behaviour is not acceptable;</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give reassurance to the child or children who have been bullied;</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help the child who has done the bullying to recognise the impact of their actions;</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make sure that children who bully receive positive feedback for considerate behaviour and are given opportunities to practise and reflect on considerate behaviour;</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do not label children who bully as ‘bullies’;</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children who bully may be experiencing bullying themselves, or be subject to abuse or other circumstance causing them to express their anger in negative ways towards others;</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discuss what has happened with the parents of the child who did the bullying and work out with them a plan for handling the child's behaviour; and</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share what has happened with the parents of the child who has been bullied, explaining that the child who did the bullying is being helped to adopt more acceptable ways of behaving. </w:t>
      </w: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307"/>
        <w:gridCol w:w="3261"/>
        <w:gridCol w:w="1466"/>
        <w:gridCol w:w="326"/>
      </w:tblGrid>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This policy was adopted at a meeting of</w:t>
            </w:r>
          </w:p>
        </w:tc>
        <w:tc>
          <w:tcPr>
            <w:tcW w:w="3261" w:type="dxa"/>
            <w:tcBorders>
              <w:top w:val="single" w:color="000000" w:sz="0"/>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Portreath Pre-School</w:t>
            </w:r>
          </w:p>
        </w:tc>
        <w:tc>
          <w:tcPr>
            <w:tcW w:w="179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Held on</w:t>
            </w:r>
          </w:p>
        </w:tc>
        <w:tc>
          <w:tcPr>
            <w:tcW w:w="3261"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17</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May 2017</w:t>
            </w:r>
          </w:p>
        </w:tc>
        <w:tc>
          <w:tcPr>
            <w:tcW w:w="179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3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Last reviewed and amended</w:t>
            </w:r>
          </w:p>
        </w:tc>
        <w:tc>
          <w:tcPr>
            <w:tcW w:w="3261"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02.03.26</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color w:val="auto"/>
                <w:spacing w:val="0"/>
                <w:position w:val="0"/>
              </w:rPr>
            </w:pPr>
          </w:p>
        </w:tc>
        <w:tc>
          <w:tcPr>
            <w:tcW w:w="179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034"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7">
    <w:abstractNumId w:val="30"/>
  </w:num>
  <w:num w:numId="10">
    <w:abstractNumId w:val="24"/>
  </w:num>
  <w:num w:numId="13">
    <w:abstractNumId w:val="18"/>
  </w:num>
  <w:num w:numId="17">
    <w:abstractNumId w:val="12"/>
  </w:num>
  <w:num w:numId="19">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