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00" w:after="0" w:line="276"/>
        <w:ind w:right="0" w:left="0" w:firstLine="0"/>
        <w:jc w:val="both"/>
        <w:rPr>
          <w:rFonts w:ascii="Calibri" w:hAnsi="Calibri" w:cs="Calibri" w:eastAsia="Calibri"/>
          <w:color w:val="auto"/>
          <w:spacing w:val="0"/>
          <w:position w:val="0"/>
          <w:sz w:val="22"/>
          <w:shd w:fill="auto" w:val="clear"/>
        </w:rPr>
      </w:pPr>
    </w:p>
    <w:p>
      <w:pPr>
        <w:keepNext w:val="true"/>
        <w:keepLines w:val="true"/>
        <w:spacing w:before="20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is committed to the highest possible standards of openness, honesty and accountability.  In line with that commitment we encourage employees and others with serious concerns about any aspect of the setting operations to come forward and voice those concerns.  It is recognised that certain cases will have to proceed on a confidential basis.  This policy document makes it clear that employees can do something without fear of reprisals.  This Whistle Blowing Policy is intended to encourage and enable employees to raise serious concerns within the setting rather than overlooking a problem or blowing the whistle outside.</w:t>
      </w:r>
    </w:p>
    <w:p>
      <w:pPr>
        <w:keepNext w:val="true"/>
        <w:keepLines w:val="true"/>
        <w:spacing w:before="20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Staff have the right and individual responsibility to raise any matters of concern regarding poor practice at work.  Staff are responsible for safety and well-being of all children attending the setting and this is priority over loyalty towards colleagues.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principles: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policy is intended to;</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Encourage and enable individuals to raise genuine and legitimate concerns.</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staff to take an active role in the elimination of poor practice.</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Ensure concerns are appropriately investigated.</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 those making the complaint from victimisation or retaliation.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whistle blowing policy, the setting has other policies and procedures covering discipline, grievance and complaints.  This policy is intended to complement these, and to cover concerns that fall outside the scope of the procedures.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management/committee will investigate, promptly and thoroughly, all concerns raised in accordance with this policy, and will take appropriate action</w:t>
      </w: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Confidentiality</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management/committee will do it's best to protect a person's identity when a concern is raised, however in some circumstances identities will have to be revealed to the person complained against and the complainant may be asked to provide written or verbal evidence in support of their complaint.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person's identity is to be disclosed, he or she will be told before the disclosure and the reasons why the disclosure is necessary.</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raised the concerns the management/committee will expect the complainant not to talk about it to any other person, inside or outside the setting.</w:t>
      </w:r>
    </w:p>
    <w:p>
      <w:pPr>
        <w:spacing w:before="0" w:after="200" w:line="276"/>
        <w:ind w:right="0" w:left="0" w:firstLine="0"/>
        <w:jc w:val="both"/>
        <w:rPr>
          <w:rFonts w:ascii="Calibri" w:hAnsi="Calibri" w:cs="Calibri" w:eastAsia="Calibri"/>
          <w:b/>
          <w:color w:val="auto"/>
          <w:spacing w:val="0"/>
          <w:position w:val="0"/>
          <w:sz w:val="28"/>
          <w:shd w:fill="auto" w:val="clear"/>
        </w:rPr>
      </w:pPr>
    </w:p>
    <w:p>
      <w:pPr>
        <w:spacing w:before="0" w:after="200" w:line="276"/>
        <w:ind w:right="0" w:left="0" w:firstLine="0"/>
        <w:jc w:val="both"/>
        <w:rPr>
          <w:rFonts w:ascii="Calibri" w:hAnsi="Calibri" w:cs="Calibri" w:eastAsia="Calibri"/>
          <w:b/>
          <w:color w:val="auto"/>
          <w:spacing w:val="0"/>
          <w:position w:val="0"/>
          <w:sz w:val="28"/>
          <w:shd w:fill="auto" w:val="clear"/>
        </w:rPr>
      </w:pP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Anonymous complaints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Concerns expressed anonymously, are much less powerful and harder to investigate, however they may be considered.</w:t>
      </w: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Untrue allegations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 allegation is made in good faith but it is not confirmed by the investigation, no action will be taken against the complainant.  If, however, an allegation proves to be malicious, action may be taken against the person responsible for the malicious act.</w:t>
      </w: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How to raise a concern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instance, concerns should be raised with the Designated Safeguarding Lead (Jannah Stephens) or Deputy Lead (Melanie Smyth).  However this may not always be appropriate, in which case concerns should be raised with the management committee chairperson.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Concerns are best raised in writing.  You are invited to set out the background and history of the concern giving names, dates and places where possible, and the reason why you are particularly concerned.  The earlier you express your concerns the easier it is to take action.  If you do not wish to put the allegations in writing, the person to whom you are making the complaint will make a written record of the interview and will ask you to sign to confirm the accuracy of the notes taken.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you will not be expected to prove the truth about your allegations, you will be required to demonstrate that there are sufficient grounds for your concern.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NOT:</w:t>
      </w:r>
    </w:p>
    <w:p>
      <w:pPr>
        <w:numPr>
          <w:ilvl w:val="0"/>
          <w:numId w:val="5"/>
        </w:numPr>
        <w:spacing w:before="0" w:after="200" w:line="276"/>
        <w:ind w:right="0" w:left="720" w:hanging="36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Investigate the matter yourself.</w:t>
      </w:r>
    </w:p>
    <w:p>
      <w:pPr>
        <w:numPr>
          <w:ilvl w:val="0"/>
          <w:numId w:val="5"/>
        </w:numPr>
        <w:spacing w:before="0" w:after="200" w:line="276"/>
        <w:ind w:right="0" w:left="720" w:hanging="36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Alert those suspected of being involved.</w:t>
      </w:r>
    </w:p>
    <w:p>
      <w:pPr>
        <w:numPr>
          <w:ilvl w:val="0"/>
          <w:numId w:val="5"/>
        </w:numPr>
        <w:spacing w:before="0" w:after="200" w:line="276"/>
        <w:ind w:right="0" w:left="720" w:hanging="36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Approach or accuse individuals.</w:t>
      </w:r>
    </w:p>
    <w:p>
      <w:pPr>
        <w:numPr>
          <w:ilvl w:val="0"/>
          <w:numId w:val="5"/>
        </w:numPr>
        <w:spacing w:before="0" w:after="200" w:line="276"/>
        <w:ind w:right="0" w:left="720" w:hanging="36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Tell anyone other than the designated persons (i.e. management/committee).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a week of the receipt of your concern, you will receive a written acknowledgment of your concern, with a copy of your statement where appropriate.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feel that you need further advice before taking the decision to whistle blow you can ring NSPCC for advice (0800028 0285) or Ofsted Whistleblowing telephone line (0300 123 3155).  These numbers are both given out during staff inductions. </w:t>
      </w:r>
    </w:p>
    <w:p>
      <w:pPr>
        <w:spacing w:before="0" w:after="240" w:line="336"/>
        <w:ind w:right="0" w:left="0" w:firstLine="0"/>
        <w:jc w:val="left"/>
        <w:rPr>
          <w:rFonts w:ascii="Calibri" w:hAnsi="Calibri" w:cs="Calibri" w:eastAsia="Calibri"/>
          <w:color w:val="222222"/>
          <w:spacing w:val="0"/>
          <w:position w:val="0"/>
          <w:sz w:val="26"/>
          <w:shd w:fill="FFFFFF" w:val="clear"/>
        </w:rPr>
      </w:pPr>
      <w:r>
        <w:rPr>
          <w:rFonts w:ascii="Calibri" w:hAnsi="Calibri" w:cs="Calibri" w:eastAsia="Calibri"/>
          <w:color w:val="auto"/>
          <w:spacing w:val="0"/>
          <w:position w:val="0"/>
          <w:sz w:val="24"/>
          <w:shd w:fill="FFFFFF" w:val="clear"/>
        </w:rPr>
        <w:t xml:space="preserve">The management/committee will investigate your concern and within 2 weeks you will be informed of what action is being taken and will be kept up to date on the progress of the investigation.  You will also be informed of the outcome of the investigation.  If you are not satisfied with the outcome of the investigation, you may elevate your concerns directly with Ofsted. </w:t>
      </w:r>
    </w:p>
    <w:p>
      <w:pPr>
        <w:spacing w:before="0" w:after="240" w:line="336"/>
        <w:ind w:right="0" w:left="0" w:firstLine="0"/>
        <w:jc w:val="left"/>
        <w:rPr>
          <w:rFonts w:ascii="Calibri" w:hAnsi="Calibri" w:cs="Calibri" w:eastAsia="Calibri"/>
          <w:color w:val="222222"/>
          <w:spacing w:val="0"/>
          <w:position w:val="0"/>
          <w:sz w:val="26"/>
          <w:shd w:fill="FFFFFF" w:val="clear"/>
        </w:rPr>
      </w:pPr>
      <w:r>
        <w:rPr>
          <w:rFonts w:ascii="Calibri" w:hAnsi="Calibri" w:cs="Calibri" w:eastAsia="Calibri"/>
          <w:color w:val="222222"/>
          <w:spacing w:val="0"/>
          <w:position w:val="0"/>
          <w:sz w:val="26"/>
          <w:shd w:fill="FFFFFF" w:val="clear"/>
        </w:rPr>
        <w:t xml:space="preserve">You can contact the Whistle Blower hotline in three ways.</w:t>
      </w:r>
    </w:p>
    <w:p>
      <w:pPr>
        <w:numPr>
          <w:ilvl w:val="0"/>
          <w:numId w:val="8"/>
        </w:numPr>
        <w:tabs>
          <w:tab w:val="left" w:pos="720" w:leader="none"/>
        </w:tabs>
        <w:spacing w:before="0" w:after="144" w:line="336"/>
        <w:ind w:right="0" w:left="240" w:hanging="360"/>
        <w:jc w:val="left"/>
        <w:rPr>
          <w:rFonts w:ascii="Calibri" w:hAnsi="Calibri" w:cs="Calibri" w:eastAsia="Calibri"/>
          <w:color w:val="222222"/>
          <w:spacing w:val="0"/>
          <w:position w:val="0"/>
          <w:sz w:val="18"/>
          <w:shd w:fill="auto" w:val="clear"/>
        </w:rPr>
      </w:pPr>
      <w:r>
        <w:rPr>
          <w:rFonts w:ascii="Calibri" w:hAnsi="Calibri" w:cs="Calibri" w:eastAsia="Calibri"/>
          <w:color w:val="222222"/>
          <w:spacing w:val="0"/>
          <w:position w:val="0"/>
          <w:sz w:val="18"/>
          <w:shd w:fill="auto" w:val="clear"/>
        </w:rPr>
        <w:t xml:space="preserve">Call  0300 123 3155 (Monday to Friday from 8.00am to 6.00pm).</w:t>
      </w:r>
    </w:p>
    <w:p>
      <w:pPr>
        <w:numPr>
          <w:ilvl w:val="0"/>
          <w:numId w:val="8"/>
        </w:numPr>
        <w:tabs>
          <w:tab w:val="left" w:pos="720" w:leader="none"/>
        </w:tabs>
        <w:spacing w:before="0" w:after="0" w:line="336"/>
        <w:ind w:right="0" w:left="240" w:hanging="360"/>
        <w:jc w:val="left"/>
        <w:rPr>
          <w:rFonts w:ascii="Calibri" w:hAnsi="Calibri" w:cs="Calibri" w:eastAsia="Calibri"/>
          <w:color w:val="222222"/>
          <w:spacing w:val="0"/>
          <w:position w:val="0"/>
          <w:sz w:val="18"/>
          <w:shd w:fill="auto" w:val="clear"/>
        </w:rPr>
      </w:pPr>
      <w:r>
        <w:rPr>
          <w:rFonts w:ascii="Calibri" w:hAnsi="Calibri" w:cs="Calibri" w:eastAsia="Calibri"/>
          <w:color w:val="222222"/>
          <w:spacing w:val="0"/>
          <w:position w:val="0"/>
          <w:sz w:val="18"/>
          <w:shd w:fill="auto" w:val="clear"/>
        </w:rPr>
        <w:t xml:space="preserve">Email  </w:t>
      </w:r>
      <w:hyperlink xmlns:r="http://schemas.openxmlformats.org/officeDocument/2006/relationships" r:id="docRId0">
        <w:r>
          <w:rPr>
            <w:rFonts w:ascii="Calibri" w:hAnsi="Calibri" w:cs="Calibri" w:eastAsia="Calibri"/>
            <w:b/>
            <w:color w:val="1B7C9B"/>
            <w:spacing w:val="0"/>
            <w:position w:val="0"/>
            <w:sz w:val="18"/>
            <w:u w:val="single"/>
            <w:shd w:fill="auto" w:val="clear"/>
          </w:rPr>
          <w:t xml:space="preserve">whistleblowing@ofsted.gov.uk</w:t>
        </w:r>
      </w:hyperlink>
      <w:r>
        <w:rPr>
          <w:rFonts w:ascii="Calibri" w:hAnsi="Calibri" w:cs="Calibri" w:eastAsia="Calibri"/>
          <w:color w:val="222222"/>
          <w:spacing w:val="0"/>
          <w:position w:val="0"/>
          <w:sz w:val="18"/>
          <w:shd w:fill="auto" w:val="clear"/>
        </w:rPr>
        <w:t xml:space="preserve">.</w:t>
      </w:r>
    </w:p>
    <w:p>
      <w:pPr>
        <w:numPr>
          <w:ilvl w:val="0"/>
          <w:numId w:val="8"/>
        </w:numPr>
        <w:tabs>
          <w:tab w:val="left" w:pos="720" w:leader="none"/>
        </w:tabs>
        <w:spacing w:before="0" w:after="144" w:line="336"/>
        <w:ind w:right="0" w:left="240" w:hanging="360"/>
        <w:jc w:val="left"/>
        <w:rPr>
          <w:rFonts w:ascii="Calibri" w:hAnsi="Calibri" w:cs="Calibri" w:eastAsia="Calibri"/>
          <w:color w:val="222222"/>
          <w:spacing w:val="0"/>
          <w:position w:val="0"/>
          <w:sz w:val="18"/>
          <w:shd w:fill="auto" w:val="clear"/>
        </w:rPr>
      </w:pPr>
      <w:r>
        <w:rPr>
          <w:rFonts w:ascii="Calibri" w:hAnsi="Calibri" w:cs="Calibri" w:eastAsia="Calibri"/>
          <w:color w:val="222222"/>
          <w:spacing w:val="0"/>
          <w:position w:val="0"/>
          <w:sz w:val="18"/>
          <w:shd w:fill="auto" w:val="clear"/>
        </w:rPr>
        <w:t xml:space="preserve">By post:</w:t>
      </w:r>
      <w:r>
        <w:rPr>
          <w:rFonts w:ascii="Calibri" w:hAnsi="Calibri" w:cs="Calibri" w:eastAsia="Calibri"/>
          <w:color w:val="auto"/>
          <w:spacing w:val="0"/>
          <w:position w:val="0"/>
          <w:sz w:val="22"/>
          <w:shd w:fill="auto" w:val="clear"/>
        </w:rPr>
        <w:br/>
      </w:r>
      <w:r>
        <w:rPr>
          <w:rFonts w:ascii="Calibri" w:hAnsi="Calibri" w:cs="Calibri" w:eastAsia="Calibri"/>
          <w:color w:val="222222"/>
          <w:spacing w:val="0"/>
          <w:position w:val="0"/>
          <w:sz w:val="18"/>
          <w:shd w:fill="auto" w:val="clear"/>
        </w:rPr>
        <w:t xml:space="preserve">WBHL</w:t>
      </w:r>
      <w:r>
        <w:rPr>
          <w:rFonts w:ascii="Calibri" w:hAnsi="Calibri" w:cs="Calibri" w:eastAsia="Calibri"/>
          <w:color w:val="auto"/>
          <w:spacing w:val="0"/>
          <w:position w:val="0"/>
          <w:sz w:val="22"/>
          <w:shd w:fill="auto" w:val="clear"/>
        </w:rPr>
        <w:br/>
      </w:r>
      <w:r>
        <w:rPr>
          <w:rFonts w:ascii="Calibri" w:hAnsi="Calibri" w:cs="Calibri" w:eastAsia="Calibri"/>
          <w:color w:val="222222"/>
          <w:spacing w:val="0"/>
          <w:position w:val="0"/>
          <w:sz w:val="18"/>
          <w:shd w:fill="auto" w:val="clear"/>
        </w:rPr>
        <w:t xml:space="preserve">Ofsted</w:t>
      </w:r>
      <w:r>
        <w:rPr>
          <w:rFonts w:ascii="Calibri" w:hAnsi="Calibri" w:cs="Calibri" w:eastAsia="Calibri"/>
          <w:color w:val="auto"/>
          <w:spacing w:val="0"/>
          <w:position w:val="0"/>
          <w:sz w:val="22"/>
          <w:shd w:fill="auto" w:val="clear"/>
        </w:rPr>
        <w:br/>
      </w:r>
      <w:r>
        <w:rPr>
          <w:rFonts w:ascii="Calibri" w:hAnsi="Calibri" w:cs="Calibri" w:eastAsia="Calibri"/>
          <w:color w:val="222222"/>
          <w:spacing w:val="0"/>
          <w:position w:val="0"/>
          <w:sz w:val="18"/>
          <w:shd w:fill="auto" w:val="clear"/>
        </w:rPr>
        <w:t xml:space="preserve">Piccadilly Gate</w:t>
      </w:r>
      <w:r>
        <w:rPr>
          <w:rFonts w:ascii="Calibri" w:hAnsi="Calibri" w:cs="Calibri" w:eastAsia="Calibri"/>
          <w:color w:val="auto"/>
          <w:spacing w:val="0"/>
          <w:position w:val="0"/>
          <w:sz w:val="22"/>
          <w:shd w:fill="auto" w:val="clear"/>
        </w:rPr>
        <w:br/>
      </w:r>
      <w:r>
        <w:rPr>
          <w:rFonts w:ascii="Calibri" w:hAnsi="Calibri" w:cs="Calibri" w:eastAsia="Calibri"/>
          <w:color w:val="222222"/>
          <w:spacing w:val="0"/>
          <w:position w:val="0"/>
          <w:sz w:val="18"/>
          <w:shd w:fill="auto" w:val="clear"/>
        </w:rPr>
        <w:t xml:space="preserve">Store Street</w:t>
      </w:r>
      <w:r>
        <w:rPr>
          <w:rFonts w:ascii="Calibri" w:hAnsi="Calibri" w:cs="Calibri" w:eastAsia="Calibri"/>
          <w:color w:val="auto"/>
          <w:spacing w:val="0"/>
          <w:position w:val="0"/>
          <w:sz w:val="22"/>
          <w:shd w:fill="auto" w:val="clear"/>
        </w:rPr>
        <w:br/>
      </w:r>
      <w:r>
        <w:rPr>
          <w:rFonts w:ascii="Calibri" w:hAnsi="Calibri" w:cs="Calibri" w:eastAsia="Calibri"/>
          <w:color w:val="222222"/>
          <w:spacing w:val="0"/>
          <w:position w:val="0"/>
          <w:sz w:val="18"/>
          <w:shd w:fill="auto" w:val="clear"/>
        </w:rPr>
        <w:t xml:space="preserve">Manchester M1 2WD</w:t>
      </w:r>
    </w:p>
    <w:p>
      <w:pPr>
        <w:spacing w:before="0" w:after="200" w:line="276"/>
        <w:ind w:right="0" w:left="0" w:firstLine="0"/>
        <w:jc w:val="both"/>
        <w:rPr>
          <w:rFonts w:ascii="Calibri" w:hAnsi="Calibri" w:cs="Calibri" w:eastAsia="Calibri"/>
          <w:color w:val="auto"/>
          <w:spacing w:val="0"/>
          <w:position w:val="0"/>
          <w:sz w:val="22"/>
          <w:shd w:fill="auto" w:val="clear"/>
        </w:rPr>
      </w:pPr>
    </w:p>
    <w:tbl>
      <w:tblPr/>
      <w:tblGrid>
        <w:gridCol w:w="4584"/>
        <w:gridCol w:w="3471"/>
        <w:gridCol w:w="1907"/>
      </w:tblGrid>
      <w:tr>
        <w:trPr>
          <w:trHeight w:val="1" w:hRule="atLeast"/>
          <w:jc w:val="left"/>
        </w:trPr>
        <w:tc>
          <w:tcPr>
            <w:tcW w:w="45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adopted at a meeting of</w:t>
            </w:r>
          </w:p>
        </w:tc>
        <w:tc>
          <w:tcPr>
            <w:tcW w:w="3471"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Portreath Pre-School</w:t>
            </w:r>
          </w:p>
        </w:tc>
        <w:tc>
          <w:tcPr>
            <w:tcW w:w="19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on</w:t>
            </w:r>
          </w:p>
        </w:tc>
        <w:tc>
          <w:tcPr>
            <w:tcW w:w="347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22.03.2019</w:t>
            </w:r>
          </w:p>
        </w:tc>
        <w:tc>
          <w:tcPr>
            <w:tcW w:w="19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Last reviewed </w:t>
            </w:r>
          </w:p>
        </w:tc>
        <w:tc>
          <w:tcPr>
            <w:tcW w:w="347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02.03.2026</w:t>
            </w:r>
          </w:p>
        </w:tc>
        <w:tc>
          <w:tcPr>
            <w:tcW w:w="19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378" w:type="dxa"/>
            <w:gridSpan w:val="2"/>
            <w:tcBorders>
              <w:top w:val="single" w:color="000000" w:sz="0"/>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378" w:type="dxa"/>
            <w:gridSpan w:val="2"/>
            <w:tcBorders>
              <w:top w:val="single" w:color="4f81bd" w:sz="4"/>
              <w:left w:val="single" w:color="000000" w:sz="4"/>
              <w:bottom w:val="single" w:color="4f81bd"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378" w:type="dxa"/>
            <w:gridSpan w:val="2"/>
            <w:tcBorders>
              <w:top w:val="single" w:color="4f81bd" w:sz="4"/>
              <w:left w:val="single" w:color="000000" w:sz="4"/>
              <w:bottom w:val="single" w:color="4f81bd"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whistleblowing@ofsted.gov.u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