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D89D" w14:textId="52E52D08" w:rsidR="00000FC3" w:rsidRDefault="00000FC3" w:rsidP="009261A5">
      <w:pPr>
        <w:rPr>
          <w:rFonts w:ascii="Kristen ITC" w:hAnsi="Kristen ITC"/>
          <w:sz w:val="44"/>
          <w:szCs w:val="44"/>
        </w:rPr>
      </w:pPr>
      <w:r>
        <w:rPr>
          <w:rFonts w:ascii="Kristen ITC" w:hAnsi="Kristen ITC"/>
          <w:sz w:val="44"/>
          <w:szCs w:val="44"/>
        </w:rPr>
        <w:t xml:space="preserve"> </w:t>
      </w:r>
      <w:r w:rsidR="00D318B6">
        <w:rPr>
          <w:rFonts w:ascii="Kristen ITC" w:hAnsi="Kristen ITC"/>
          <w:noProof/>
          <w:sz w:val="44"/>
          <w:szCs w:val="44"/>
          <w:lang w:eastAsia="en-GB"/>
        </w:rPr>
        <w:drawing>
          <wp:inline distT="0" distB="0" distL="0" distR="0" wp14:anchorId="7B05E50A" wp14:editId="0623A59E">
            <wp:extent cx="1035050" cy="81262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1045871" cy="821120"/>
                    </a:xfrm>
                    <a:prstGeom prst="rect">
                      <a:avLst/>
                    </a:prstGeom>
                  </pic:spPr>
                </pic:pic>
              </a:graphicData>
            </a:graphic>
          </wp:inline>
        </w:drawing>
      </w:r>
      <w:r w:rsidR="00D318B6">
        <w:rPr>
          <w:rFonts w:ascii="Kristen ITC" w:hAnsi="Kristen ITC"/>
          <w:sz w:val="44"/>
          <w:szCs w:val="44"/>
        </w:rPr>
        <w:t xml:space="preserve"> P</w:t>
      </w:r>
      <w:r w:rsidR="009261A5">
        <w:rPr>
          <w:rFonts w:ascii="Kristen ITC" w:hAnsi="Kristen ITC"/>
          <w:sz w:val="44"/>
          <w:szCs w:val="44"/>
        </w:rPr>
        <w:t>lay &amp; L</w:t>
      </w:r>
      <w:r>
        <w:rPr>
          <w:rFonts w:ascii="Kristen ITC" w:hAnsi="Kristen ITC"/>
          <w:sz w:val="44"/>
          <w:szCs w:val="44"/>
        </w:rPr>
        <w:t>earning Newsletter</w:t>
      </w:r>
      <w:r w:rsidR="00686A4E">
        <w:rPr>
          <w:rFonts w:ascii="Kristen ITC" w:hAnsi="Kristen ITC"/>
          <w:sz w:val="44"/>
          <w:szCs w:val="44"/>
        </w:rPr>
        <w:t xml:space="preserve"> </w:t>
      </w:r>
    </w:p>
    <w:p w14:paraId="00A5AC27" w14:textId="7242BE0C"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009757C2">
                <wp:simplePos x="0" y="0"/>
                <wp:positionH relativeFrom="column">
                  <wp:posOffset>2711450</wp:posOffset>
                </wp:positionH>
                <wp:positionV relativeFrom="paragraph">
                  <wp:posOffset>232410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CA9067D" w14:textId="6B92D500" w:rsidR="00167770" w:rsidRDefault="00D318B6" w:rsidP="00167770">
                            <w:pPr>
                              <w:jc w:val="center"/>
                            </w:pPr>
                            <w:r>
                              <w:t>Large, huge, medium, middle sized, small, tiny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13.5pt;margin-top:18.3pt;width:205.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" adj="-2553,10959" fillcolor="white [3201]" strokecolor="#70ad47 [3209]" strokeweight="1pt">
                <v:textbox>
                  <w:txbxContent>
                    <w:p w14:paraId="1CA9067D" w14:textId="6B92D500" w:rsidR="00167770" w:rsidRDefault="00D318B6" w:rsidP="00167770">
                      <w:pPr>
                        <w:jc w:val="center"/>
                      </w:pPr>
                      <w:r>
                        <w:t>Large, huge, medium, middle sized, small, tiny</w:t>
                      </w:r>
                    </w:p>
                  </w:txbxContent>
                </v:textbox>
              </v:shape>
            </w:pict>
          </mc:Fallback>
        </mc:AlternateContent>
      </w:r>
      <w:r w:rsidR="00D318B6">
        <w:rPr>
          <w:rFonts w:ascii="Comic Sans MS" w:hAnsi="Comic Sans MS"/>
          <w:sz w:val="24"/>
          <w:szCs w:val="24"/>
        </w:rPr>
        <w:t>5</w:t>
      </w:r>
      <w:r w:rsidR="00D318B6" w:rsidRPr="00D318B6">
        <w:rPr>
          <w:rFonts w:ascii="Comic Sans MS" w:hAnsi="Comic Sans MS"/>
          <w:sz w:val="24"/>
          <w:szCs w:val="24"/>
          <w:vertAlign w:val="superscript"/>
        </w:rPr>
        <w:t>th</w:t>
      </w:r>
      <w:r w:rsidR="00D318B6">
        <w:rPr>
          <w:rFonts w:ascii="Comic Sans MS" w:hAnsi="Comic Sans MS"/>
          <w:sz w:val="24"/>
          <w:szCs w:val="24"/>
        </w:rPr>
        <w:t xml:space="preserve"> October</w:t>
      </w:r>
      <w:r w:rsidR="00F905C3">
        <w:rPr>
          <w:rFonts w:ascii="Comic Sans MS" w:hAnsi="Comic Sans MS"/>
          <w:sz w:val="24"/>
          <w:szCs w:val="24"/>
        </w:rPr>
        <w:t xml:space="preserve"> – </w:t>
      </w:r>
      <w:r w:rsidR="00D318B6">
        <w:rPr>
          <w:rFonts w:ascii="Comic Sans MS" w:hAnsi="Comic Sans MS"/>
          <w:sz w:val="24"/>
          <w:szCs w:val="24"/>
        </w:rPr>
        <w:t>9th</w:t>
      </w:r>
      <w:r w:rsidR="00F905C3">
        <w:rPr>
          <w:rFonts w:ascii="Comic Sans MS" w:hAnsi="Comic Sans MS"/>
          <w:sz w:val="24"/>
          <w:szCs w:val="24"/>
        </w:rPr>
        <w:t xml:space="preserve"> October </w:t>
      </w:r>
      <w:r w:rsidR="00000FC3" w:rsidRPr="00792AA8">
        <w:rPr>
          <w:rFonts w:ascii="Comic Sans MS" w:hAnsi="Comic Sans MS"/>
          <w:sz w:val="24"/>
          <w:szCs w:val="24"/>
        </w:rPr>
        <w:t>2020</w:t>
      </w: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394E53C4" w14:textId="77777777" w:rsidR="00BF0181" w:rsidRDefault="00BF0181" w:rsidP="00667747">
      <w:pPr>
        <w:jc w:val="center"/>
        <w:rPr>
          <w:rFonts w:ascii="Comic Sans MS" w:hAnsi="Comic Sans MS"/>
          <w:sz w:val="24"/>
          <w:szCs w:val="24"/>
        </w:rPr>
      </w:pPr>
    </w:p>
    <w:p w14:paraId="332A1C7E" w14:textId="1F139982" w:rsidR="009261A5" w:rsidRDefault="009261A5" w:rsidP="00C760EE">
      <w:pPr>
        <w:rPr>
          <w:rFonts w:ascii="Comic Sans MS" w:hAnsi="Comic Sans MS"/>
        </w:rPr>
      </w:pPr>
      <w:r>
        <w:rPr>
          <w:rFonts w:ascii="Comic Sans MS" w:hAnsi="Comic Sans MS"/>
        </w:rPr>
        <w:t xml:space="preserve">This week we have focused on the story of ‘Goldilocks and the three bears’ – another great story for supporting the children’s language development, plus their understanding of ‘size’ words and ordering by size.  The children have taken part in ‘action stories’ out in the playground and have shown a good ability to use everyday items as props in the story as we’ve acted it out. We have also had a ‘story bag’ to encourage retelling with a lovely set of felt bears which Jannah brought in from home. Both these activities have prompted some superb ‘voices’ for the different characters – we have some great budding actors </w:t>
      </w:r>
      <w:r w:rsidRPr="009261A5">
        <w:rPr>
          <w:rFonts w:ascii="Segoe UI Emoji" w:eastAsia="Segoe UI Emoji" w:hAnsi="Segoe UI Emoji" w:cs="Segoe UI Emoji"/>
        </w:rPr>
        <w:t>😊</w:t>
      </w:r>
      <w:r>
        <w:rPr>
          <w:rFonts w:ascii="Comic Sans MS" w:hAnsi="Comic Sans MS"/>
        </w:rPr>
        <w:t xml:space="preserve">. </w:t>
      </w:r>
    </w:p>
    <w:p w14:paraId="14FDBDFD" w14:textId="22A0CB17" w:rsidR="009261A5" w:rsidRDefault="00D071E5" w:rsidP="00C760EE">
      <w:pPr>
        <w:rPr>
          <w:rFonts w:ascii="Comic Sans MS" w:hAnsi="Comic Sans MS"/>
        </w:rPr>
      </w:pPr>
      <w:r>
        <w:rPr>
          <w:rFonts w:ascii="Comic Sans MS" w:hAnsi="Comic Sans MS"/>
        </w:rPr>
        <w:t>The Three B</w:t>
      </w:r>
      <w:r w:rsidR="009261A5">
        <w:rPr>
          <w:rFonts w:ascii="Comic Sans MS" w:hAnsi="Comic Sans MS"/>
        </w:rPr>
        <w:t xml:space="preserve">ears cottage has been located in our role play areas too and we used the song ‘When Goldilocks went to the house of the bears’ to inspire the children’s play in these. There has been lots of porridge making (using wooden pellets), with the children exploring how to make the dispensers work and which utensil belonged to which bear. </w:t>
      </w:r>
    </w:p>
    <w:p w14:paraId="0FC4E404" w14:textId="244C6B1E" w:rsidR="007D7C93" w:rsidRDefault="00D071E5" w:rsidP="00517374">
      <w:pPr>
        <w:rPr>
          <w:rFonts w:ascii="Comic Sans MS" w:hAnsi="Comic Sans MS"/>
        </w:rPr>
      </w:pPr>
      <w:r>
        <w:rPr>
          <w:rFonts w:ascii="Comic Sans MS" w:hAnsi="Comic Sans MS"/>
        </w:rPr>
        <w:t>Our Creating A</w:t>
      </w:r>
      <w:r w:rsidR="009261A5">
        <w:rPr>
          <w:rFonts w:ascii="Comic Sans MS" w:hAnsi="Comic Sans MS"/>
        </w:rPr>
        <w:t xml:space="preserve">rea has </w:t>
      </w:r>
      <w:r w:rsidR="00FC0CEA">
        <w:rPr>
          <w:rFonts w:ascii="Comic Sans MS" w:hAnsi="Comic Sans MS"/>
        </w:rPr>
        <w:t>harnessed</w:t>
      </w:r>
      <w:r w:rsidR="009261A5">
        <w:rPr>
          <w:rFonts w:ascii="Comic Sans MS" w:hAnsi="Comic Sans MS"/>
        </w:rPr>
        <w:t xml:space="preserve"> the children’s love of climbing to inspire mark </w:t>
      </w:r>
      <w:r w:rsidR="00FC0CEA">
        <w:rPr>
          <w:rFonts w:ascii="Comic Sans MS" w:hAnsi="Comic Sans MS"/>
        </w:rPr>
        <w:t>making - a paper wall with different sized stools to climb up in order to be able to reach and make marks.  Everyone wanted a go at this!  When children are young it’s really important to give them lots of opportunities for vertical drawing experiences as this helps them to develop the muscles they need for eventually being able to write letters.</w:t>
      </w:r>
    </w:p>
    <w:p w14:paraId="17B99EDE" w14:textId="0DA94C82" w:rsidR="00FC0CEA" w:rsidRDefault="00FC0CEA" w:rsidP="00517374">
      <w:pPr>
        <w:rPr>
          <w:rFonts w:ascii="Comic Sans MS" w:hAnsi="Comic Sans MS"/>
        </w:rPr>
      </w:pPr>
      <w:r>
        <w:rPr>
          <w:rFonts w:ascii="Comic Sans MS" w:hAnsi="Comic Sans MS"/>
        </w:rPr>
        <w:t xml:space="preserve">Large block building projects inspiring teamwork, playdough creations for the ‘three bears family’ and plunger print painting (another great muscle workout) have also been some of the play and learning experiences on offer this week.  </w:t>
      </w:r>
    </w:p>
    <w:p w14:paraId="038860EF" w14:textId="77777777" w:rsidR="007D7C93" w:rsidRPr="00D75B81" w:rsidRDefault="007D7C93" w:rsidP="007D7C93">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Pr="00D75B81">
        <w:rPr>
          <w:rFonts w:ascii="Comic Sans MS" w:hAnsi="Comic Sans MS"/>
          <w:i/>
        </w:rPr>
        <w:t xml:space="preserve"> </w:t>
      </w:r>
    </w:p>
    <w:p w14:paraId="3CC8049B" w14:textId="6E05E9FE" w:rsidR="00AE2C36" w:rsidRDefault="00AE2C36" w:rsidP="00517374">
      <w:pPr>
        <w:rPr>
          <w:rFonts w:ascii="Comic Sans MS" w:hAnsi="Comic Sans MS"/>
        </w:rPr>
      </w:pPr>
      <w:r>
        <w:rPr>
          <w:rFonts w:ascii="Comic Sans MS" w:hAnsi="Comic Sans MS"/>
        </w:rPr>
        <w:t xml:space="preserve"> </w:t>
      </w:r>
      <w:r w:rsidR="00FC0CEA">
        <w:rPr>
          <w:rFonts w:ascii="Comic Sans MS" w:hAnsi="Comic Sans MS"/>
        </w:rPr>
        <w:t>This week we have played games using the story of Goldilocks as a stimulus for listening carefully and then responding. The children have had to remember actions which relate to each character and then perform them when they hear the char</w:t>
      </w:r>
      <w:r w:rsidR="00890F21">
        <w:rPr>
          <w:rFonts w:ascii="Comic Sans MS" w:hAnsi="Comic Sans MS"/>
        </w:rPr>
        <w:t>a</w:t>
      </w:r>
      <w:r w:rsidR="00FC0CEA">
        <w:rPr>
          <w:rFonts w:ascii="Comic Sans MS" w:hAnsi="Comic Sans MS"/>
        </w:rPr>
        <w:t xml:space="preserve">cter’s name. </w:t>
      </w:r>
      <w:r w:rsidR="00890F21">
        <w:rPr>
          <w:rFonts w:ascii="Comic Sans MS" w:hAnsi="Comic Sans MS"/>
        </w:rPr>
        <w:t>These sorts of games</w:t>
      </w:r>
      <w:r w:rsidR="00FC0CEA">
        <w:rPr>
          <w:rFonts w:ascii="Comic Sans MS" w:hAnsi="Comic Sans MS"/>
        </w:rPr>
        <w:t xml:space="preserve"> are great for building up children’s memory and listening </w:t>
      </w:r>
      <w:r w:rsidR="00FC0CEA">
        <w:rPr>
          <w:rFonts w:ascii="Comic Sans MS" w:hAnsi="Comic Sans MS"/>
        </w:rPr>
        <w:lastRenderedPageBreak/>
        <w:t xml:space="preserve">skills which ultimately </w:t>
      </w:r>
      <w:r w:rsidR="00890F21">
        <w:rPr>
          <w:rFonts w:ascii="Comic Sans MS" w:hAnsi="Comic Sans MS"/>
        </w:rPr>
        <w:t xml:space="preserve">benefits their levels of concentration too – an essential requirement for successful learning behaviours. </w:t>
      </w:r>
    </w:p>
    <w:p w14:paraId="7620AF95" w14:textId="3ADC4824" w:rsidR="00A12AE0" w:rsidRPr="001E0DE0" w:rsidRDefault="00AE2C36" w:rsidP="00517374">
      <w:pPr>
        <w:rPr>
          <w:rFonts w:ascii="Comic Sans MS" w:hAnsi="Comic Sans MS"/>
        </w:rPr>
      </w:pPr>
      <w:r>
        <w:rPr>
          <w:rFonts w:ascii="Comic Sans MS" w:hAnsi="Comic Sans MS"/>
        </w:rPr>
        <w:t xml:space="preserve"> </w:t>
      </w:r>
    </w:p>
    <w:p w14:paraId="325043A0" w14:textId="76AEC960" w:rsidR="00CF5B11" w:rsidRDefault="00A12AE0" w:rsidP="00CF5B11">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r w:rsidR="00890F21">
        <w:rPr>
          <w:rFonts w:ascii="Comic Sans MS" w:hAnsi="Comic Sans MS"/>
          <w:noProof/>
          <w:sz w:val="24"/>
          <w:szCs w:val="24"/>
          <w:u w:val="single"/>
          <w:lang w:eastAsia="en-GB"/>
        </w:rPr>
        <w:drawing>
          <wp:inline distT="0" distB="0" distL="0" distR="0" wp14:anchorId="2A704FE1" wp14:editId="0F66208C">
            <wp:extent cx="1612900" cy="571109"/>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83834" cy="596226"/>
                    </a:xfrm>
                    <a:prstGeom prst="rect">
                      <a:avLst/>
                    </a:prstGeom>
                  </pic:spPr>
                </pic:pic>
              </a:graphicData>
            </a:graphic>
          </wp:inline>
        </w:drawing>
      </w:r>
    </w:p>
    <w:p w14:paraId="52BFC2B1" w14:textId="5CB9577B" w:rsidR="00890F21" w:rsidRPr="00890F21" w:rsidRDefault="00890F21" w:rsidP="00CF5B11">
      <w:pPr>
        <w:jc w:val="both"/>
        <w:rPr>
          <w:rFonts w:ascii="Comic Sans MS" w:hAnsi="Comic Sans MS"/>
          <w:sz w:val="24"/>
          <w:szCs w:val="24"/>
        </w:rPr>
      </w:pPr>
      <w:r>
        <w:rPr>
          <w:rFonts w:ascii="Comic Sans MS" w:hAnsi="Comic Sans MS"/>
          <w:sz w:val="24"/>
          <w:szCs w:val="24"/>
        </w:rPr>
        <w:t xml:space="preserve">Send your child on a ‘size hunt’, encouraging them to find something which is a large, medium and small size. See if they can put the items in order of size. Use the words </w:t>
      </w:r>
      <w:r>
        <w:rPr>
          <w:rFonts w:ascii="Comic Sans MS" w:hAnsi="Comic Sans MS"/>
          <w:i/>
          <w:iCs/>
          <w:sz w:val="24"/>
          <w:szCs w:val="24"/>
        </w:rPr>
        <w:t xml:space="preserve">large, huge, medium, middle sized, small and tiny </w:t>
      </w:r>
      <w:r>
        <w:rPr>
          <w:rFonts w:ascii="Comic Sans MS" w:hAnsi="Comic Sans MS"/>
          <w:sz w:val="24"/>
          <w:szCs w:val="24"/>
        </w:rPr>
        <w:t xml:space="preserve">to describe the size of objects </w:t>
      </w:r>
      <w:r>
        <w:rPr>
          <w:rFonts w:ascii="Comic Sans MS" w:hAnsi="Comic Sans MS"/>
          <w:sz w:val="24"/>
          <w:szCs w:val="24"/>
          <w:u w:val="single"/>
        </w:rPr>
        <w:t xml:space="preserve">instead </w:t>
      </w:r>
      <w:r>
        <w:rPr>
          <w:rFonts w:ascii="Comic Sans MS" w:hAnsi="Comic Sans MS"/>
          <w:sz w:val="24"/>
          <w:szCs w:val="24"/>
        </w:rPr>
        <w:t xml:space="preserve">of ‘big/little’. This will help to not only develop your child’s understanding of size but also extend their vocabulary too. </w:t>
      </w:r>
    </w:p>
    <w:p w14:paraId="242A1D52" w14:textId="73EEA86F" w:rsidR="00A12AE0" w:rsidRPr="001E0DE0" w:rsidRDefault="00A12AE0" w:rsidP="00CF5B11">
      <w:pPr>
        <w:jc w:val="both"/>
        <w:rPr>
          <w:sz w:val="24"/>
          <w:szCs w:val="24"/>
        </w:rPr>
      </w:pPr>
    </w:p>
    <w:sectPr w:rsidR="00A12AE0" w:rsidRPr="001E0DE0" w:rsidSect="00D31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4478D"/>
    <w:rsid w:val="000A6200"/>
    <w:rsid w:val="000A7775"/>
    <w:rsid w:val="000C6BE9"/>
    <w:rsid w:val="00167770"/>
    <w:rsid w:val="001E0DE0"/>
    <w:rsid w:val="00517374"/>
    <w:rsid w:val="00534F6F"/>
    <w:rsid w:val="00667747"/>
    <w:rsid w:val="00683E49"/>
    <w:rsid w:val="00686A4E"/>
    <w:rsid w:val="006A567D"/>
    <w:rsid w:val="007D7C93"/>
    <w:rsid w:val="00890F21"/>
    <w:rsid w:val="00894592"/>
    <w:rsid w:val="008A362D"/>
    <w:rsid w:val="009261A5"/>
    <w:rsid w:val="00A12AE0"/>
    <w:rsid w:val="00AE2C36"/>
    <w:rsid w:val="00BF0181"/>
    <w:rsid w:val="00C760EE"/>
    <w:rsid w:val="00CE2D0E"/>
    <w:rsid w:val="00CF5B11"/>
    <w:rsid w:val="00D071E5"/>
    <w:rsid w:val="00D318B6"/>
    <w:rsid w:val="00F905C3"/>
    <w:rsid w:val="00FC0CEA"/>
    <w:rsid w:val="00FF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5D977882-C3C9-4CD8-B375-D24A57B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commons.wikimedia.org/wiki/file:denslow's_three_bears_pg_5.jpg" TargetMode="Externa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s://www.awesomelyluvvie.com/2017/04/goldilocks-criming-while-white.html/goldilocks-and-three-bears-cover" TargetMode="External"/><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3</cp:revision>
  <cp:lastPrinted>2020-09-25T12:05:00Z</cp:lastPrinted>
  <dcterms:created xsi:type="dcterms:W3CDTF">2020-10-12T06:38:00Z</dcterms:created>
  <dcterms:modified xsi:type="dcterms:W3CDTF">2020-10-12T06:38:00Z</dcterms:modified>
</cp:coreProperties>
</file>