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policy reflects the welfare requirements of the EYFS 2025 (3.92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3.95) and adheres to the legal requirements of the General Data Protection Regulations 2018, the Data Protection Act 1998, Human Rights Act 1998 and The Freedom of Information Act 2000.</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720" w:hanging="72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parents have a right to know that information they share will be regarded as confidential as well as be informed about the circumstances, and reasons, when we are obliged to share information.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obliged to share confidential information without authorisation from the person who provided it or to whom it relates if it is in the public interest. That is when:</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to prevent a crime from being committed or intervene where one may have been, or to prevent harm to a child or adult; or</w:t>
      </w:r>
    </w:p>
    <w:p>
      <w:pPr>
        <w:numPr>
          <w:ilvl w:val="0"/>
          <w:numId w:val="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 sharing it could be worse than the outcome of having shared it. </w:t>
      </w:r>
    </w:p>
    <w:p>
      <w:pPr>
        <w:spacing w:before="0" w:after="0" w:line="360"/>
        <w:ind w:right="0" w:left="709"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decision should never be made as an individual, but with the back-up of management committee officers. The three critical criteria are:</w:t>
        <w:br/>
      </w:r>
    </w:p>
    <w:p>
      <w:pPr>
        <w:numPr>
          <w:ilvl w:val="0"/>
          <w:numId w:val="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there is </w:t>
      </w:r>
      <w:r>
        <w:rPr>
          <w:rFonts w:ascii="Arial" w:hAnsi="Arial" w:cs="Arial" w:eastAsia="Arial"/>
          <w:i/>
          <w:color w:val="auto"/>
          <w:spacing w:val="0"/>
          <w:position w:val="0"/>
          <w:sz w:val="22"/>
          <w:shd w:fill="auto" w:val="clear"/>
        </w:rPr>
        <w:t xml:space="preserve">evidence</w:t>
      </w:r>
      <w:r>
        <w:rPr>
          <w:rFonts w:ascii="Arial" w:hAnsi="Arial" w:cs="Arial" w:eastAsia="Arial"/>
          <w:color w:val="auto"/>
          <w:spacing w:val="0"/>
          <w:position w:val="0"/>
          <w:sz w:val="22"/>
          <w:shd w:fill="auto" w:val="clear"/>
        </w:rPr>
        <w:t xml:space="preserve"> that the child is suffering, or is at risk of suffering, significant harm.</w:t>
      </w:r>
    </w:p>
    <w:p>
      <w:pPr>
        <w:numPr>
          <w:ilvl w:val="0"/>
          <w:numId w:val="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there </w:t>
      </w:r>
      <w:r>
        <w:rPr>
          <w:rFonts w:ascii="Arial" w:hAnsi="Arial" w:cs="Arial" w:eastAsia="Arial"/>
          <w:i/>
          <w:color w:val="auto"/>
          <w:spacing w:val="0"/>
          <w:position w:val="0"/>
          <w:sz w:val="22"/>
          <w:shd w:fill="auto" w:val="clear"/>
        </w:rPr>
        <w:t xml:space="preserve">is reasonable cause to believe</w:t>
      </w:r>
      <w:r>
        <w:rPr>
          <w:rFonts w:ascii="Arial" w:hAnsi="Arial" w:cs="Arial" w:eastAsia="Arial"/>
          <w:color w:val="auto"/>
          <w:spacing w:val="0"/>
          <w:position w:val="0"/>
          <w:sz w:val="22"/>
          <w:shd w:fill="auto" w:val="clear"/>
        </w:rPr>
        <w:t xml:space="preserve"> that a child may be suffering, or at risk of suffering, significant harm.</w:t>
      </w:r>
    </w:p>
    <w:p>
      <w:pPr>
        <w:numPr>
          <w:ilvl w:val="0"/>
          <w:numId w:val="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w:t>
      </w:r>
      <w:r>
        <w:rPr>
          <w:rFonts w:ascii="Arial" w:hAnsi="Arial" w:cs="Arial" w:eastAsia="Arial"/>
          <w:i/>
          <w:color w:val="auto"/>
          <w:spacing w:val="0"/>
          <w:position w:val="0"/>
          <w:sz w:val="22"/>
          <w:shd w:fill="auto" w:val="clear"/>
        </w:rPr>
        <w:t xml:space="preserve">prevent </w:t>
      </w:r>
      <w:r>
        <w:rPr>
          <w:rFonts w:ascii="Arial" w:hAnsi="Arial" w:cs="Arial" w:eastAsia="Arial"/>
          <w:color w:val="auto"/>
          <w:spacing w:val="0"/>
          <w:position w:val="0"/>
          <w:sz w:val="22"/>
          <w:shd w:fill="auto" w:val="clear"/>
        </w:rPr>
        <w:t xml:space="preserve">significant harm arising to children and young people or serious harm to adults, including the prevention, detection and prosecution of serious crime.</w:t>
      </w:r>
      <w:r>
        <w:rPr>
          <w:rFonts w:ascii="Times New Roman" w:hAnsi="Times New Roman" w:cs="Times New Roman" w:eastAsia="Times New Roman"/>
          <w:color w:val="auto"/>
          <w:spacing w:val="0"/>
          <w:position w:val="0"/>
          <w:sz w:val="20"/>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Remember that the General Data Protection Regulation is not a barrier to sharing information but provides a framework to ensure that personal information about living persons is shared appropriately.</w:t>
        <w:br/>
      </w:r>
    </w:p>
    <w:p>
      <w:pPr>
        <w:numPr>
          <w:ilvl w:val="0"/>
          <w:numId w:val="10"/>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policy and procedures on information sharing provide guidance to appropriate sharing of information with external agencies.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open and honest. Explain to families how, when and why information will be shared about them and with whom. Seek consent to share information, unless it puts the child at risk or undermines a criminal investigation. </w:t>
        <w:br/>
        <w:br/>
        <w:t xml:space="preserve">In our setting we ensure parents:</w:t>
      </w:r>
    </w:p>
    <w:p>
      <w:pPr>
        <w:numPr>
          <w:ilvl w:val="0"/>
          <w:numId w:val="13"/>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receive information about our information sharing policy when starting their child in the setting and they sign a form to say that they </w:t>
      </w:r>
      <w:r>
        <w:rPr>
          <w:rFonts w:ascii="Arial" w:hAnsi="Arial" w:cs="Arial" w:eastAsia="Arial"/>
          <w:i/>
          <w:color w:val="auto"/>
          <w:spacing w:val="0"/>
          <w:position w:val="0"/>
          <w:sz w:val="22"/>
          <w:shd w:fill="auto" w:val="clear"/>
        </w:rPr>
        <w:t xml:space="preserve">understand</w:t>
      </w:r>
      <w:r>
        <w:rPr>
          <w:rFonts w:ascii="Arial" w:hAnsi="Arial" w:cs="Arial" w:eastAsia="Arial"/>
          <w:color w:val="auto"/>
          <w:spacing w:val="0"/>
          <w:position w:val="0"/>
          <w:sz w:val="22"/>
          <w:shd w:fill="auto" w:val="clear"/>
        </w:rPr>
        <w:t xml:space="preserve"> circumstances when information may be shared without their consent. This will only be when it is a matter of safeguarding a child or vulnerable adult. This is on our registration form;</w:t>
      </w:r>
    </w:p>
    <w:p>
      <w:pPr>
        <w:numPr>
          <w:ilvl w:val="0"/>
          <w:numId w:val="13"/>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information about our Safeguarding Children and Child Protection policy; and</w:t>
      </w:r>
    </w:p>
    <w:p>
      <w:pPr>
        <w:numPr>
          <w:ilvl w:val="0"/>
          <w:numId w:val="13"/>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information about the circumstances when information will be shared with external agencies, for example, with regard to any special needs the child may have or transition to school.</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Seek advice when there are doubts about possible significant harm to a child or others.</w:t>
        <w:br/>
      </w:r>
    </w:p>
    <w:p>
      <w:pPr>
        <w:numPr>
          <w:ilvl w:val="0"/>
          <w:numId w:val="1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Managers contact children’s social care for advice where they have doubts or are unsure.</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8"/>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Share with consent where appropriate. Respect the wishes of children and parents not to consent to share confidential information. However, in the interests of the child, know when it is reasonable to override their wish.</w:t>
        <w:br/>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Guidelines for consent are part of this procedure.</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2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Leader and Deputy are conversant with this and are able to advise staff accordingly. Consider the safety and welfare of the child when making a decision about sharing information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if there are concerns regarding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significant harm</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child</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s well being and safety is paramount.</w:t>
        <w:br/>
        <w:br/>
      </w:r>
    </w:p>
    <w:p>
      <w:pPr>
        <w:numPr>
          <w:ilvl w:val="0"/>
          <w:numId w:val="2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our setting we:</w:t>
      </w:r>
    </w:p>
    <w:p>
      <w:pPr>
        <w:numPr>
          <w:ilvl w:val="0"/>
          <w:numId w:val="2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 concerns and discuss these with the setting’s </w:t>
      </w:r>
      <w:r>
        <w:rPr>
          <w:rFonts w:ascii="Arial" w:hAnsi="Arial" w:cs="Arial" w:eastAsia="Arial"/>
          <w:i/>
          <w:color w:val="auto"/>
          <w:spacing w:val="0"/>
          <w:position w:val="0"/>
          <w:sz w:val="22"/>
          <w:shd w:fill="auto" w:val="clear"/>
        </w:rPr>
        <w:t xml:space="preserve">designated person </w:t>
      </w:r>
      <w:r>
        <w:rPr>
          <w:rFonts w:ascii="Arial" w:hAnsi="Arial" w:cs="Arial" w:eastAsia="Arial"/>
          <w:color w:val="auto"/>
          <w:spacing w:val="0"/>
          <w:position w:val="0"/>
          <w:sz w:val="22"/>
          <w:shd w:fill="auto" w:val="clear"/>
        </w:rPr>
        <w:t xml:space="preserve">and/or</w:t>
      </w:r>
      <w:r>
        <w:rPr>
          <w:rFonts w:ascii="Arial" w:hAnsi="Arial" w:cs="Arial" w:eastAsia="Arial"/>
          <w:i/>
          <w:color w:val="auto"/>
          <w:spacing w:val="0"/>
          <w:position w:val="0"/>
          <w:sz w:val="22"/>
          <w:shd w:fill="auto" w:val="clear"/>
        </w:rPr>
        <w:t xml:space="preserve"> designated officer </w:t>
      </w:r>
      <w:r>
        <w:rPr>
          <w:rFonts w:ascii="Arial" w:hAnsi="Arial" w:cs="Arial" w:eastAsia="Arial"/>
          <w:color w:val="auto"/>
          <w:spacing w:val="0"/>
          <w:position w:val="0"/>
          <w:sz w:val="22"/>
          <w:shd w:fill="auto" w:val="clear"/>
        </w:rPr>
        <w:t xml:space="preserve">from the management committee</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for child protection matters. Record decisions made and the reasons why information will be shared and to whom; and</w:t>
      </w:r>
    </w:p>
    <w:p>
      <w:pPr>
        <w:numPr>
          <w:ilvl w:val="0"/>
          <w:numId w:val="22"/>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follow the procedures for reporting concerns and record keeping.</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2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shared should be accurate and up-to-date, necessary for the purpose it is being shared for, shared only with those who need to know and shared securely.</w:t>
        <w:br/>
      </w:r>
    </w:p>
    <w:p>
      <w:pPr>
        <w:numPr>
          <w:ilvl w:val="0"/>
          <w:numId w:val="25"/>
        </w:numPr>
        <w:tabs>
          <w:tab w:val="left" w:pos="7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Child Protection and Safeguarding Policy and Procedures sets out how and where information should be recorded and what information should be shared with another agency when making a referral.</w:t>
      </w:r>
    </w:p>
    <w:p>
      <w:pPr>
        <w:spacing w:before="0" w:after="0" w:line="360"/>
        <w:ind w:right="0" w:left="720" w:firstLine="0"/>
        <w:jc w:val="left"/>
        <w:rPr>
          <w:rFonts w:ascii="Arial" w:hAnsi="Arial" w:cs="Arial" w:eastAsia="Arial"/>
          <w:color w:val="auto"/>
          <w:spacing w:val="0"/>
          <w:position w:val="0"/>
          <w:sz w:val="22"/>
          <w:shd w:fill="auto" w:val="clear"/>
        </w:rPr>
      </w:pPr>
    </w:p>
    <w:p>
      <w:pPr>
        <w:numPr>
          <w:ilvl w:val="0"/>
          <w:numId w:val="2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Reasons for decisions to share information, or not, are recorded on the forms which information has been recorded on.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657" w:left="720" w:hanging="72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Consent</w:t>
      </w:r>
    </w:p>
    <w:p>
      <w:pPr>
        <w:spacing w:before="0" w:after="0" w:line="360"/>
        <w:ind w:right="657"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have a right to be informed that their consent to share information will be sought in most cases, as well as the kinds of circumstances when their consent may not be sought, or their refusal to give consent may be overridden. We do this as follows:</w:t>
        <w:br/>
      </w:r>
    </w:p>
    <w:p>
      <w:pPr>
        <w:numPr>
          <w:ilvl w:val="0"/>
          <w:numId w:val="31"/>
        </w:numPr>
        <w:spacing w:before="0" w:after="0" w:line="360"/>
        <w:ind w:right="657"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policies and procedures set out our responsibility regarding gaining consent to share information and when it may not be sought or overridden.</w:t>
      </w:r>
    </w:p>
    <w:p>
      <w:pPr>
        <w:numPr>
          <w:ilvl w:val="0"/>
          <w:numId w:val="31"/>
        </w:numPr>
        <w:spacing w:before="0" w:after="0" w:line="360"/>
        <w:ind w:right="657"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Parents sign a form at registration to say they understand this.</w:t>
      </w:r>
    </w:p>
    <w:p>
      <w:pPr>
        <w:numPr>
          <w:ilvl w:val="0"/>
          <w:numId w:val="31"/>
        </w:numPr>
        <w:spacing w:before="0" w:after="0" w:line="360"/>
        <w:ind w:right="657"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asked to give written consent to share information about any additional needs their child may have, or to pass on child development summaries, to the next provider/school.</w:t>
      </w:r>
    </w:p>
    <w:p>
      <w:pPr>
        <w:numPr>
          <w:ilvl w:val="0"/>
          <w:numId w:val="31"/>
        </w:numPr>
        <w:spacing w:before="0" w:after="0" w:line="360"/>
        <w:ind w:right="657"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Copies are given to parents of the forms that are shared with other professionals. </w:t>
      </w:r>
    </w:p>
    <w:p>
      <w:pPr>
        <w:spacing w:before="0" w:after="0" w:line="360"/>
        <w:ind w:right="657" w:left="0" w:firstLine="0"/>
        <w:jc w:val="left"/>
        <w:rPr>
          <w:rFonts w:ascii="Arial" w:hAnsi="Arial" w:cs="Arial" w:eastAsia="Arial"/>
          <w:color w:val="auto"/>
          <w:spacing w:val="0"/>
          <w:position w:val="0"/>
          <w:sz w:val="22"/>
          <w:shd w:fill="auto" w:val="clear"/>
        </w:rPr>
      </w:pPr>
    </w:p>
    <w:p>
      <w:pPr>
        <w:spacing w:before="0" w:after="0" w:line="360"/>
        <w:ind w:right="657"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consider the following questions when we need to share:</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there legitimate purpose to sharing the information?</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Does the information enable the person to be identified?</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the information confidential?</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information is confidential, do you have consent to share?</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 there a statutory duty or court order to share information?</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consent is refused, or there are good reasons not to seek consent, is there sufficient public interest to share information?</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decision is to share, are you sharing the right information in the right way?</w:t>
      </w:r>
    </w:p>
    <w:p>
      <w:pPr>
        <w:numPr>
          <w:ilvl w:val="0"/>
          <w:numId w:val="3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Have you properly recorded your decision?</w:t>
      </w:r>
    </w:p>
    <w:p>
      <w:pPr>
        <w:spacing w:before="0" w:after="0" w:line="360"/>
        <w:ind w:right="0" w:left="1134" w:hanging="425"/>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the undertakings above are subject to the paramount commitment of the setting, which is to the safety and well-being of the child.  Please also see our Safeguarding Children and Child Protection policy.</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2127" w:hanging="2127"/>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spacing w:before="0" w:after="0" w:line="360"/>
        <w:ind w:right="0" w:left="2127" w:hanging="2127"/>
        <w:jc w:val="left"/>
        <w:rPr>
          <w:rFonts w:ascii="Arial" w:hAnsi="Arial" w:cs="Arial" w:eastAsia="Arial"/>
          <w:b/>
          <w:color w:val="auto"/>
          <w:spacing w:val="0"/>
          <w:position w:val="0"/>
          <w:sz w:val="22"/>
          <w:shd w:fill="auto" w:val="clear"/>
        </w:rPr>
      </w:pP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General Data Protection Regulation 2018</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Data Protection Act 1998</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Human Rights Act 1998</w:t>
      </w:r>
    </w:p>
    <w:p>
      <w:pPr>
        <w:numPr>
          <w:ilvl w:val="0"/>
          <w:numId w:val="37"/>
        </w:numPr>
        <w:spacing w:before="0" w:after="0" w:line="360"/>
        <w:ind w:right="0" w:left="360" w:hanging="36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Freedom of Information Act 2000</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Sharing: Guidance for Practitioners and Managers (DCSF 2008)</w:t>
        <w:br/>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policy was reviewed and adopted at a meeting of  Portreath Pre-School  held on 22.03.2019</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 reviewed and amended on 02.03.2026</w:t>
      </w:r>
    </w:p>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
    <w:lvl w:ilvl="0">
      <w:start w:val="1"/>
      <w:numFmt w:val="decimal"/>
      <w:lvlText w:val="%1."/>
    </w:lvl>
  </w:abstractNum>
  <w:abstractNum w:abstractNumId="12">
    <w:lvl w:ilvl="0">
      <w:start w:val="1"/>
      <w:numFmt w:val="bullet"/>
      <w:lvlText w:val="•"/>
    </w:lvl>
  </w:abstractNum>
  <w:abstractNum w:abstractNumId="7">
    <w:lvl w:ilvl="0">
      <w:start w:val="1"/>
      <w:numFmt w:val="decimal"/>
      <w:lvlText w:val="%1."/>
    </w:lvl>
  </w:abstractNum>
  <w:abstractNum w:abstractNumId="18">
    <w:lvl w:ilvl="0">
      <w:start w:val="1"/>
      <w:numFmt w:val="bullet"/>
      <w:lvlText w:val="•"/>
    </w:lvl>
  </w:abstractNum>
  <w:abstractNum w:abstractNumId="13">
    <w:lvl w:ilvl="0">
      <w:start w:val="1"/>
      <w:numFmt w:val="decimal"/>
      <w:lvlText w:val="%1."/>
    </w:lvl>
  </w:abstractNum>
  <w:abstractNum w:abstractNumId="24">
    <w:lvl w:ilvl="0">
      <w:start w:val="1"/>
      <w:numFmt w:val="bullet"/>
      <w:lvlText w:val="•"/>
    </w:lvl>
  </w:abstractNum>
  <w:abstractNum w:abstractNumId="19">
    <w:lvl w:ilvl="0">
      <w:start w:val="1"/>
      <w:numFmt w:val="decimal"/>
      <w:lvlText w:val="%1."/>
    </w:lvl>
  </w:abstractNum>
  <w:abstractNum w:abstractNumId="30">
    <w:lvl w:ilvl="0">
      <w:start w:val="1"/>
      <w:numFmt w:val="bullet"/>
      <w:lvlText w:val="•"/>
    </w:lvl>
  </w:abstractNum>
  <w:abstractNum w:abstractNumId="25">
    <w:lvl w:ilvl="0">
      <w:start w:val="1"/>
      <w:numFmt w:val="decimal"/>
      <w:lvlText w:val="%1."/>
    </w:lvl>
  </w:abstractNum>
  <w:abstractNum w:abstractNumId="36">
    <w:lvl w:ilvl="0">
      <w:start w:val="1"/>
      <w:numFmt w:val="bullet"/>
      <w:lvlText w:val="•"/>
    </w:lvl>
  </w:abstractNum>
  <w:abstractNum w:abstractNumId="31">
    <w:lvl w:ilvl="0">
      <w:start w:val="1"/>
      <w:numFmt w:val="decimal"/>
      <w:lvlText w:val="%1."/>
    </w:lvl>
  </w:abstractNum>
  <w:abstractNum w:abstractNumId="42">
    <w:lvl w:ilvl="0">
      <w:start w:val="1"/>
      <w:numFmt w:val="bullet"/>
      <w:lvlText w:val="•"/>
    </w:lvl>
  </w:abstractNum>
  <w:abstractNum w:abstractNumId="37">
    <w:lvl w:ilvl="0">
      <w:start w:val="1"/>
      <w:numFmt w:val="decimal"/>
      <w:lvlText w:val="%1."/>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4">
    <w:abstractNumId w:val="60"/>
  </w:num>
  <w:num w:numId="7">
    <w:abstractNumId w:val="54"/>
  </w:num>
  <w:num w:numId="9">
    <w:abstractNumId w:val="37"/>
  </w:num>
  <w:num w:numId="10">
    <w:abstractNumId w:val="48"/>
  </w:num>
  <w:num w:numId="12">
    <w:abstractNumId w:val="31"/>
  </w:num>
  <w:num w:numId="13">
    <w:abstractNumId w:val="42"/>
  </w:num>
  <w:num w:numId="15">
    <w:abstractNumId w:val="25"/>
  </w:num>
  <w:num w:numId="16">
    <w:abstractNumId w:val="36"/>
  </w:num>
  <w:num w:numId="18">
    <w:abstractNumId w:val="19"/>
  </w:num>
  <w:num w:numId="19">
    <w:abstractNumId w:val="30"/>
  </w:num>
  <w:num w:numId="21">
    <w:abstractNumId w:val="13"/>
  </w:num>
  <w:num w:numId="22">
    <w:abstractNumId w:val="24"/>
  </w:num>
  <w:num w:numId="24">
    <w:abstractNumId w:val="7"/>
  </w:num>
  <w:num w:numId="25">
    <w:abstractNumId w:val="18"/>
  </w:num>
  <w:num w:numId="27">
    <w:abstractNumId w:val="1"/>
  </w:num>
  <w:num w:numId="31">
    <w:abstractNumId w:val="12"/>
  </w:num>
  <w:num w:numId="33">
    <w:abstractNumId w:val="6"/>
  </w:num>
  <w:num w:numId="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